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ascii="Arial" w:hAnsi="Arial" w:cs="Arial"/>
          <w:b/>
          <w:i w:val="0"/>
          <w:caps w:val="0"/>
          <w:color w:val="434343"/>
          <w:spacing w:val="0"/>
          <w:sz w:val="43"/>
          <w:szCs w:val="43"/>
        </w:rPr>
      </w:pPr>
      <w:r>
        <w:rPr>
          <w:rFonts w:hint="default" w:ascii="Arial" w:hAnsi="Arial" w:cs="Arial"/>
          <w:b/>
          <w:i w:val="0"/>
          <w:caps w:val="0"/>
          <w:color w:val="434343"/>
          <w:spacing w:val="0"/>
          <w:sz w:val="43"/>
          <w:szCs w:val="43"/>
          <w:bdr w:val="none" w:color="auto" w:sz="0" w:space="0"/>
          <w:shd w:val="clear" w:fill="FFFFFF"/>
        </w:rPr>
        <w:t>农业农村部办公厅财政部办公厅关于印发《2021-2023农机购置补贴实施指导意见》的通知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center"/>
      </w:pPr>
      <w:r>
        <w:rPr>
          <w:sz w:val="21"/>
          <w:szCs w:val="21"/>
        </w:rPr>
        <w:t>按照《农业农村部办公厅 财政部办公厅关于印发&lt;2021-2023年农机购置补贴实施指导意见&gt;的通知》（农办计财〔2021〕8号）精神，为规范实施我省2021-2023年农机购置补贴政策，推动农业机械化向全程全面高质高效转型升级，有效支撑粮食安全、重要农产品有效供给和农民增收，促进农业高质高效发展，助力全面推进乡村振兴，加快农业农村现代化，积极推进辽宁全面振兴，我们共同研究制定了《2021-2023年辽宁省农机购置补贴实施方案》，现予印发，请遵照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center"/>
      </w:pPr>
      <w:r>
        <w:rPr>
          <w:sz w:val="21"/>
          <w:szCs w:val="21"/>
        </w:rPr>
        <w:t>                                                 辽宁省农业农村厅     辽宁省财政厅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center"/>
      </w:pPr>
      <w:r>
        <w:rPr>
          <w:sz w:val="21"/>
          <w:szCs w:val="21"/>
        </w:rPr>
        <w:t>                                                               2021年6月30日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2022-11-24T12:23:16Z</dcterms:created>
  <dc:creator>Administrator</dc:creator>
  <cp:lastModifiedBy>Administrator</cp:lastModifiedBy>
  <dcterms:modified xsi:type="dcterms:W3CDTF">2022-11-24T12:24:02Z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